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before="240" w:line="240" w:lineRule="auto"/>
        <w:rPr>
          <w:rFonts w:ascii="Archivo" w:cs="Archivo" w:eastAsia="Archivo" w:hAnsi="Archivo"/>
          <w:b w:val="1"/>
          <w:color w:val="ff0000"/>
          <w:sz w:val="28"/>
          <w:szCs w:val="28"/>
        </w:rPr>
      </w:pPr>
      <w:bookmarkStart w:colFirst="0" w:colLast="0" w:name="_3znysh7" w:id="0"/>
      <w:bookmarkEnd w:id="0"/>
      <w:r w:rsidDel="00000000" w:rsidR="00000000" w:rsidRPr="00000000">
        <w:rPr>
          <w:rFonts w:ascii="Archivo" w:cs="Archivo" w:eastAsia="Archivo" w:hAnsi="Archivo"/>
          <w:b w:val="1"/>
          <w:color w:val="ff0000"/>
          <w:sz w:val="28"/>
          <w:szCs w:val="28"/>
        </w:rPr>
        <w:drawing>
          <wp:inline distB="114300" distT="114300" distL="114300" distR="114300">
            <wp:extent cx="2090738" cy="66233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662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0" w:before="240" w:line="240" w:lineRule="auto"/>
        <w:rPr>
          <w:rFonts w:ascii="Archivo Black" w:cs="Archivo Black" w:eastAsia="Archivo Black" w:hAnsi="Archivo Black"/>
          <w:b w:val="1"/>
          <w:sz w:val="32"/>
          <w:szCs w:val="32"/>
        </w:rPr>
      </w:pPr>
      <w:bookmarkStart w:colFirst="0" w:colLast="0" w:name="_5pt4hj9em4i8" w:id="1"/>
      <w:bookmarkEnd w:id="1"/>
      <w:r w:rsidDel="00000000" w:rsidR="00000000" w:rsidRPr="00000000">
        <w:rPr>
          <w:rFonts w:ascii="Archivo Black" w:cs="Archivo Black" w:eastAsia="Archivo Black" w:hAnsi="Archivo Black"/>
          <w:b w:val="1"/>
          <w:sz w:val="32"/>
          <w:szCs w:val="32"/>
          <w:rtl w:val="0"/>
        </w:rPr>
        <w:t xml:space="preserve">Template: Risk assessment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This document is designed to be used to assess health and safety hazards associated with a young person undertaking an in-person work placement. Please return this assessment prior to the placement taking place.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b w:val="1"/>
          <w:sz w:val="24"/>
          <w:szCs w:val="24"/>
          <w:u w:val="single"/>
          <w:rtl w:val="0"/>
        </w:rPr>
        <w:t xml:space="preserve">In order to complete this assessment successfully, you can refer first to the following Health and Safety Executive guidance: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The Right Start. Work experience for young people: </w:t>
      </w:r>
      <w:hyperlink r:id="rId7">
        <w:r w:rsidDel="00000000" w:rsidR="00000000" w:rsidRPr="00000000">
          <w:rPr>
            <w:rFonts w:ascii="Archivo" w:cs="Archivo" w:eastAsia="Archivo" w:hAnsi="Archivo"/>
            <w:color w:val="0000ff"/>
            <w:sz w:val="24"/>
            <w:szCs w:val="24"/>
            <w:u w:val="single"/>
            <w:rtl w:val="0"/>
          </w:rPr>
          <w:t xml:space="preserve">http://www.hse.gov.uk/pubns/indg364.pdf</w:t>
        </w:r>
      </w:hyperlink>
      <w:r w:rsidDel="00000000" w:rsidR="00000000" w:rsidRPr="00000000">
        <w:rPr>
          <w:rFonts w:ascii="Archivo" w:cs="Archivo" w:eastAsia="Archivo" w:hAnsi="Archivo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Five steps to risk assessment: </w:t>
      </w:r>
      <w:hyperlink r:id="rId8">
        <w:r w:rsidDel="00000000" w:rsidR="00000000" w:rsidRPr="00000000">
          <w:rPr>
            <w:rFonts w:ascii="Archivo" w:cs="Archivo" w:eastAsia="Archivo" w:hAnsi="Archivo"/>
            <w:color w:val="0000ff"/>
            <w:sz w:val="24"/>
            <w:szCs w:val="24"/>
            <w:u w:val="single"/>
            <w:rtl w:val="0"/>
          </w:rPr>
          <w:t xml:space="preserve">http://www.hse.gov.uk/pubns/indg163.pdf</w:t>
        </w:r>
      </w:hyperlink>
      <w:r w:rsidDel="00000000" w:rsidR="00000000" w:rsidRPr="00000000">
        <w:rPr>
          <w:rFonts w:ascii="Archivo" w:cs="Archivo" w:eastAsia="Archivo" w:hAnsi="Archivo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Please outline the background information and confirm it is correct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87.0" w:type="dxa"/>
        <w:jc w:val="left"/>
        <w:tblInd w:w="0.0" w:type="dxa"/>
        <w:tblLayout w:type="fixed"/>
        <w:tblLook w:val="0400"/>
      </w:tblPr>
      <w:tblGrid>
        <w:gridCol w:w="6201"/>
        <w:gridCol w:w="6986"/>
        <w:tblGridChange w:id="0">
          <w:tblGrid>
            <w:gridCol w:w="6201"/>
            <w:gridCol w:w="698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Job 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Arts Emergency Work Experience Placement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Location of placement: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4"/>
                <w:szCs w:val="24"/>
                <w:rtl w:val="0"/>
              </w:rPr>
              <w:t xml:space="preserve">Signature 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(person carrying out risk assessment)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4"/>
                <w:szCs w:val="24"/>
                <w:rtl w:val="0"/>
              </w:rPr>
              <w:t xml:space="preserve">Signature: 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(person acting as supervisor of young person - if different from above)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240"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0.0" w:type="dxa"/>
        <w:tblLayout w:type="fixed"/>
        <w:tblLook w:val="0400"/>
      </w:tblPr>
      <w:tblGrid>
        <w:gridCol w:w="3061"/>
        <w:gridCol w:w="7048"/>
        <w:gridCol w:w="1991"/>
        <w:gridCol w:w="1850"/>
        <w:tblGridChange w:id="0">
          <w:tblGrid>
            <w:gridCol w:w="3061"/>
            <w:gridCol w:w="7048"/>
            <w:gridCol w:w="1991"/>
            <w:gridCol w:w="1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RISK OF INJURY OR EXPOSURE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ACTION / 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Covid-19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How are you protecting your staff against contracting and spreading Covid-19?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You should: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identify what work activity or situations might cause transmission of the virus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think about who could be at risk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decide how likely it is that someone could be exposed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act to remove the activity or situation, or if this isn't possible, control the risk.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ind w:left="720" w:firstLine="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Psychological capacity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Are there tasks, which rely on skill, experience and an understanding that the young person might not have? 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You should provide young people with training and effective supervision, particularly where they might:</w:t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Benefit from additional training to understand things that would be easier to learn in an in person environment. 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Use new programmes that they may be unfamiliar with.;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Be potentially exposed to violent or aggressive behaviour or materials that are inappropriate or traumatic in nature.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Meet adults who have not committed to Arts Emergency’s code of conduct, who might pose a safeguarding risk to a young person.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240"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Physical capacity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Injuries can occur in jobs that require repetitive or forceful movements, particularly when combined with awkward posture or insufficient recovery time. 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You should :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Take account of the physique and general health, age and experience of the young person in your risk assessment;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Provide training and supervision.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Moving &amp;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Manual handling includes not only lifting but pulling, pushing and twisting. Consider both the handling of inanimate objects and people. Can the handling task be avoided?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Display Screen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Correct posture is very important to prevent undue strain being placed on the neck, shoulders, back, arms and wrists.</w:t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Ensure that a VDU workstation assessment is carried 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out.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 You can download a free PDF on the </w:t>
            </w:r>
            <w:hyperlink r:id="rId9">
              <w:r w:rsidDel="00000000" w:rsidR="00000000" w:rsidRPr="00000000">
                <w:rPr>
                  <w:rFonts w:ascii="Archivo" w:cs="Archivo" w:eastAsia="Archivo" w:hAnsi="Archivo"/>
                  <w:color w:val="1155cc"/>
                  <w:sz w:val="24"/>
                  <w:szCs w:val="24"/>
                  <w:u w:val="single"/>
                  <w:rtl w:val="0"/>
                </w:rPr>
                <w:t xml:space="preserve">HSE website.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Using Display Screen Equipment for long hours can lead to headaches and migraines. Ensure that you are offering regular breaks during the working day.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Noise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Exposure to prolonged loud noise may lead to increased blood pressure and tiredness. If you are 2 metres from a person and need to shout to be heard the noise is too loud.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240"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Hazardous substances e.g. cleaning fluids, pesticides,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All chemicals used in the workplace should have a COSHH assessment. These should give an indication of any potential hazards and precautions that should be taken.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Please send us your COSHH assessment as an appendage to this risk assessment if relevant.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240"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after="0" w:before="0" w:line="240" w:lineRule="auto"/>
              <w:ind w:left="0" w:firstLine="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after="0" w:before="0" w:line="240" w:lineRule="auto"/>
              <w:ind w:left="0" w:firstLine="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Any other concerns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rPr>
          <w:rFonts w:ascii="Archivo" w:cs="Archivo" w:eastAsia="Archivo" w:hAnsi="Archivo"/>
          <w:color w:val="c049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color w:val="c04947"/>
          <w:sz w:val="24"/>
          <w:szCs w:val="24"/>
          <w:rtl w:val="0"/>
        </w:rPr>
        <w:t xml:space="preserve">INTOLERABLE RISK (High Risk) – Remove hazard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color w:val="b59f1b"/>
          <w:sz w:val="24"/>
          <w:szCs w:val="24"/>
          <w:rtl w:val="0"/>
        </w:rPr>
        <w:t xml:space="preserve">SUBSTANTIAL RISK (Medium Risk) – Adapt working practices &amp; introduce control 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color w:val="85abc5"/>
          <w:sz w:val="24"/>
          <w:szCs w:val="24"/>
          <w:rtl w:val="0"/>
        </w:rPr>
        <w:t xml:space="preserve">MODERATE RISK (Low Risk) – Advise &amp; supervise Young Person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595.275590551182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chivo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se.gov.uk/pubns/ck1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hse.gov.uk/pubns/indg364.pdf" TargetMode="External"/><Relationship Id="rId8" Type="http://schemas.openxmlformats.org/officeDocument/2006/relationships/hyperlink" Target="http://www.hse.gov.uk/pubns/indg16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Relationship Id="rId5" Type="http://schemas.openxmlformats.org/officeDocument/2006/relationships/font" Target="fonts/Archivo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